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  <w:gridCol w:w="5226"/>
        <w:gridCol w:w="4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  <w:t xml:space="preserve">Знать звуки  </w:t>
            </w:r>
          </w:p>
          <w:p>
            <w:pPr>
              <w:widowControl w:val="0"/>
              <w:jc w:val="right"/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  <w:t>(не буквы)</w:t>
            </w: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en-US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72"/>
                <w:szCs w:val="72"/>
                <w:highlight w:val="none"/>
                <w:vertAlign w:val="baseline"/>
                <w:lang w:val="en-US"/>
              </w:rPr>
              <w:t>+</w:t>
            </w:r>
          </w:p>
        </w:tc>
        <w:tc>
          <w:tcPr>
            <w:tcW w:w="522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  <w:t>Развитый фонематический слух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36"/>
                <w:highlight w:val="none"/>
                <w:vertAlign w:val="baseline"/>
                <w:lang w:val="ru-RU"/>
              </w:rPr>
              <w:t>(умение различать звуки речи)</w:t>
            </w:r>
          </w:p>
        </w:tc>
        <w:tc>
          <w:tcPr>
            <w:tcW w:w="457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  <w:t xml:space="preserve">Фундамент </w:t>
            </w: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72"/>
                <w:szCs w:val="72"/>
                <w:highlight w:val="none"/>
                <w:vertAlign w:val="baseline"/>
                <w:lang w:val="en-US"/>
              </w:rPr>
              <w:t>=</w:t>
            </w: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44"/>
                <w:szCs w:val="44"/>
                <w:highlight w:val="none"/>
                <w:vertAlign w:val="baseline"/>
                <w:lang w:val="ru-RU"/>
              </w:rPr>
              <w:t>обучения чтению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1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805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Написать слово под диктовку (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услышать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каждый звук,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определить/ идентифицировать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их, вспомнить  как пишутся эти звуки (буквы),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написать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vertAlign w:val="baseline"/>
                <w:lang w:val="ru-RU"/>
              </w:rPr>
              <w:t>Неречевые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ru-RU"/>
              </w:rPr>
              <w:t>Звуки природы, улицы, тишины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ru-RU"/>
              </w:rPr>
              <w:t>Аудиосказки, неречевые м/ф, чтение книг (развивают фантазию, мышление, внимание, логику, учат удерживать внимание)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vertAlign w:val="baseline"/>
                <w:lang w:val="ru-RU"/>
              </w:rPr>
              <w:t>Речевые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vertAlign w:val="baseline"/>
                <w:lang w:val="ru-RU"/>
              </w:rPr>
              <w:t xml:space="preserve">Гласные (красные)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- поют, голос идёт без препятствий 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ru-RU"/>
              </w:rPr>
              <w:t>А О У Ы Э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твердый согл.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vertAlign w:val="baseline"/>
                <w:lang w:val="ru-RU"/>
              </w:rPr>
              <w:t>И Е Ё Ю Я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мягкий согл.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vertAlign w:val="baseline"/>
                <w:lang w:val="ru-RU"/>
              </w:rPr>
              <w:t>Согласные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- есть препятствия для звука (язык, зубы, губы)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Твердые (синие)  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д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м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к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т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л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дк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а, 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л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а., 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н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ау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28"/>
                <w:szCs w:val="28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к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а...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  <w:t xml:space="preserve">Мягкие (зеленые) 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с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н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и, 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т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я, 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с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к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и, 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з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л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i/>
                <w:iCs/>
                <w:color w:val="70AD47" w:themeColor="accent6"/>
                <w:sz w:val="28"/>
                <w:szCs w:val="28"/>
                <w:vertAlign w:val="baseline"/>
                <w:lang w:val="ru-RU"/>
                <w14:textFill>
                  <w14:solidFill>
                    <w14:schemeClr w14:val="accent6"/>
                  </w14:solidFill>
                </w14:textFill>
              </w:rPr>
              <w:t>н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ь...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color w:val="FF0000"/>
                <w:sz w:val="44"/>
                <w:szCs w:val="4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i/>
                <w:iCs/>
                <w:color w:val="0070C0"/>
                <w:sz w:val="44"/>
                <w:szCs w:val="44"/>
                <w:vertAlign w:val="baseli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i/>
                <w:iCs/>
                <w:color w:val="00B050"/>
                <w:sz w:val="44"/>
                <w:szCs w:val="44"/>
                <w:vertAlign w:val="baseline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44"/>
                <w:szCs w:val="44"/>
                <w:vertAlign w:val="baseli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/>
                <w:iCs/>
                <w:color w:val="4472C4" w:themeColor="accent5"/>
                <w:sz w:val="44"/>
                <w:szCs w:val="44"/>
                <w:vertAlign w:val="baseline"/>
                <w:lang w:val="ru-RU"/>
                <w14:textFill>
                  <w14:solidFill>
                    <w14:schemeClr w14:val="accent5"/>
                  </w14:solidFill>
                </w14:textFill>
              </w:rPr>
              <w:t>Т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44"/>
                <w:szCs w:val="44"/>
                <w:vertAlign w:val="baseline"/>
                <w:lang w:val="ru-RU"/>
              </w:rPr>
              <w:t>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color w:val="FF0000"/>
                <w:sz w:val="44"/>
                <w:szCs w:val="44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color w:val="FF0000"/>
                <w:sz w:val="44"/>
                <w:szCs w:val="44"/>
                <w:vertAlign w:val="baseline"/>
                <w:lang w:val="ru-RU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singl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single"/>
                <w:shd w:val="clear" w:fill="FFFFFF"/>
              </w:rPr>
              <w:t>Чтение книг помогает детям: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96" w:afterAutospacing="0"/>
              <w:ind w:left="720" w:hanging="360"/>
              <w:rPr>
                <w:sz w:val="24"/>
                <w:szCs w:val="24"/>
              </w:rPr>
            </w:pPr>
            <w:r>
              <w:rPr>
                <w:rStyle w:val="4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Быстрее усваивать полученные знания.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Регулярное чтение книг превращает процесс обучения в приятное и несложное занятие.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96" w:afterAutospacing="0"/>
              <w:ind w:left="720" w:hanging="360"/>
              <w:rPr>
                <w:sz w:val="24"/>
                <w:szCs w:val="24"/>
              </w:rPr>
            </w:pPr>
            <w:r>
              <w:rPr>
                <w:rStyle w:val="4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Развивать креативное мышление.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Книги позволяют развивать воображение и придумывать собственные истории.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96" w:afterAutospacing="0"/>
              <w:ind w:left="720" w:hanging="360"/>
              <w:rPr>
                <w:sz w:val="24"/>
                <w:szCs w:val="24"/>
              </w:rPr>
            </w:pPr>
            <w:r>
              <w:rPr>
                <w:rStyle w:val="4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Научиться сопереживать, стать настоящим другом.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Книги помогают понять, что обижать животных нельзя, совершать подлости не стоит, а проступки наказываются.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96" w:afterAutospacing="0"/>
              <w:ind w:left="720" w:hanging="360"/>
              <w:rPr>
                <w:sz w:val="24"/>
                <w:szCs w:val="24"/>
              </w:rPr>
            </w:pPr>
            <w:r>
              <w:rPr>
                <w:rStyle w:val="4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Повысить популярность среди сверстников.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Широкий кругозор и богатый словарный запас помогут всегда поддержать разговор с друзьями и стать душой компании.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96" w:afterAutospacing="0"/>
              <w:ind w:left="720" w:hanging="360"/>
              <w:rPr>
                <w:sz w:val="24"/>
                <w:szCs w:val="24"/>
              </w:rPr>
            </w:pPr>
            <w:r>
              <w:rPr>
                <w:rStyle w:val="4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Научиться отвлекаться от проблем и огорчений.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Книги позволяют переключиться с собственных бед и найти выход из непростых ситуаций.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sz w:val="24"/>
                <w:szCs w:val="24"/>
              </w:rPr>
            </w:pPr>
            <w:r>
              <w:rPr>
                <w:rStyle w:val="4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Не скучать в одиночестве.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Увлекательные оманы позволяют проводить время в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одиночестве и не расстраиваться по этому поводу.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color w:val="FF0000"/>
                <w:sz w:val="44"/>
                <w:szCs w:val="44"/>
                <w:vertAlign w:val="baseline"/>
                <w:lang w:val="ru-RU"/>
              </w:rPr>
            </w:pPr>
          </w:p>
        </w:tc>
        <w:tc>
          <w:tcPr>
            <w:tcW w:w="5226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ru-RU"/>
              </w:rPr>
              <w:t>Определение количества слогов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bookmarkStart w:id="0" w:name="_GoBack"/>
            <w:bookmarkEnd w:id="0"/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Определение первого, последнего звука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Закрепление образа буквы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Segoe Print" w:hAnsi="Segoe Print" w:cs="Segoe Print"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FF0000"/>
                <w:sz w:val="40"/>
                <w:szCs w:val="40"/>
                <w:vertAlign w:val="baseline"/>
                <w:lang w:val="ru-RU"/>
              </w:rPr>
              <w:t>Хвалите ребенка за любые успехи</w:t>
            </w:r>
            <w:r>
              <w:rPr>
                <w:rFonts w:hint="default" w:ascii="Segoe Print" w:hAnsi="Segoe Print" w:cs="Segoe Print"/>
                <w:sz w:val="40"/>
                <w:szCs w:val="40"/>
                <w:vertAlign w:val="baseline"/>
                <w:lang w:val="ru-RU"/>
              </w:rPr>
              <w:t xml:space="preserve"> - ситуация успеха даёт ощущение крыльев за спиной, которые несут его к цели!</w:t>
            </w:r>
          </w:p>
          <w:p>
            <w:pPr>
              <w:widowControl w:val="0"/>
              <w:jc w:val="both"/>
              <w:rPr>
                <w:rFonts w:hint="default" w:ascii="Segoe Print" w:hAnsi="Segoe Print" w:cs="Segoe Print"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FF0000"/>
                <w:sz w:val="40"/>
                <w:szCs w:val="40"/>
                <w:highlight w:val="none"/>
                <w:vertAlign w:val="baseline"/>
                <w:lang w:val="ru-RU"/>
              </w:rPr>
              <w:t>Поддерживайте ребенка в сложных ситуациях и неудачах</w:t>
            </w:r>
            <w:r>
              <w:rPr>
                <w:rFonts w:hint="default" w:ascii="Segoe Print" w:hAnsi="Segoe Print" w:cs="Segoe Print"/>
                <w:sz w:val="40"/>
                <w:szCs w:val="40"/>
                <w:vertAlign w:val="baseline"/>
                <w:lang w:val="ru-RU"/>
              </w:rPr>
              <w:t xml:space="preserve">  - ощущение надежного плеча придаёт уверенность в силах и формирует сильную личность.</w:t>
            </w:r>
          </w:p>
        </w:tc>
        <w:tc>
          <w:tcPr>
            <w:tcW w:w="457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Прохлопать, «позвать» слово, посчитать гласные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Ко-ро-ва,  ю-ла, , по-езд, дом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- «Угадай, с какой буквы начинается слово»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сень,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блоко,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ж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ираф,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лон,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ашина...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- «угадай, на какую букву заканчивается слово»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, сто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, уко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, пришё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...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  <w:t>«игра в слова»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, 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  <w:t xml:space="preserve">«Я задумал слово на ...» (буква или слог) ребёнок придумывает 3 слова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  <w:t xml:space="preserve">- «Ты какая?» придумать определения/ассоциацию на ту же букву, что и предмет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укла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расивая,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лассная,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урносая,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ашина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аленькая,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одная,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илая мчалась мимо моря,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такан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теклянный,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 xml:space="preserve">тарый,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  <w:t>иний стоял на столе..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  <w:t>- «Я вижу букву...» увидеть/узнать в предметах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  <w:t>-лепить, конструировать, склеить...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9" w:hRule="atLeast"/>
        </w:trPr>
        <w:tc>
          <w:tcPr>
            <w:tcW w:w="5011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226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57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 w:ascii="Segoe Print" w:hAnsi="Segoe Print" w:cs="Segoe Print"/>
                <w:i w:val="0"/>
                <w:i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i w:val="0"/>
                <w:iCs w:val="0"/>
                <w:sz w:val="32"/>
                <w:szCs w:val="32"/>
                <w:vertAlign w:val="baseline"/>
                <w:lang w:val="ru-RU"/>
              </w:rPr>
              <w:t>Памятка классному родителю</w:t>
            </w: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0" cy="1875155"/>
                  <wp:effectExtent l="0" t="0" r="12700" b="14605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87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val="ru-RU"/>
              </w:rPr>
              <w:t>Гр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>. «Ромашка»</w:t>
            </w:r>
          </w:p>
          <w:p>
            <w:pPr>
              <w:widowControl w:val="0"/>
              <w:jc w:val="center"/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</w:pP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</w:trPr>
        <w:tc>
          <w:tcPr>
            <w:tcW w:w="5011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226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57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ind w:left="-800" w:leftChars="-400" w:firstLine="0" w:firstLineChars="0"/>
        <w:rPr>
          <w:rFonts w:hint="default"/>
          <w:lang w:val="ru-RU"/>
        </w:rPr>
      </w:pPr>
    </w:p>
    <w:sectPr>
      <w:pgSz w:w="16838" w:h="11906" w:orient="landscape"/>
      <w:pgMar w:top="800" w:right="798" w:bottom="5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571A9"/>
    <w:multiLevelType w:val="multilevel"/>
    <w:tmpl w:val="AC6571A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C0387"/>
    <w:rsid w:val="147C0387"/>
    <w:rsid w:val="42341FE4"/>
    <w:rsid w:val="571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2024-02-06T15:20:00Z</dcterms:created>
  <dc:creator>Светлана Семёно�</dc:creator>
  <cp:lastModifiedBy>Светлана Семёно�</cp:lastModifiedBy>
  <cp:lastPrinted>2024-02-13T15:45:12Z</cp:lastPrinted>
  <dcterms:modified xsi:type="dcterms:W3CDTF">2024-02-14T07:36:32Z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C5645D6B30484D29A4EA1AA26A5C22F9_11</vt:lpwstr>
  </property>
</Properties>
</file>